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ascii="Times New Roman" w:hAnsi="Times New Roman" w:eastAsia="宋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  <w:r>
        <w:rPr>
          <w:rFonts w:ascii="Times New Roman" w:hAnsi="Times New Roman" w:eastAsia="黑体" w:cs="Times New Roman"/>
          <w:b/>
          <w:bCs/>
          <w:sz w:val="52"/>
          <w:szCs w:val="52"/>
        </w:rPr>
        <w:t>ETC用户手册</w:t>
      </w: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rPr>
          <w:rFonts w:ascii="Times New Roman" w:hAnsi="Times New Roman" w:eastAsia="黑体" w:cs="Times New Roman"/>
        </w:rPr>
      </w:pPr>
    </w:p>
    <w:p>
      <w:pPr>
        <w:spacing w:line="312" w:lineRule="auto"/>
        <w:rPr>
          <w:rFonts w:ascii="Times New Roman" w:hAnsi="Times New Roman" w:eastAsia="黑体" w:cs="Times New Roman"/>
        </w:rPr>
      </w:pPr>
    </w:p>
    <w:p>
      <w:pPr>
        <w:spacing w:line="312" w:lineRule="auto"/>
        <w:rPr>
          <w:rFonts w:ascii="Times New Roman" w:hAnsi="Times New Roman" w:eastAsia="黑体" w:cs="Times New Roman"/>
        </w:rPr>
      </w:pPr>
    </w:p>
    <w:p>
      <w:pPr>
        <w:spacing w:line="312" w:lineRule="auto"/>
        <w:rPr>
          <w:rFonts w:ascii="Times New Roman" w:hAnsi="Times New Roman" w:eastAsia="黑体" w:cs="Times New Roman"/>
        </w:rPr>
      </w:pPr>
    </w:p>
    <w:p>
      <w:pPr>
        <w:spacing w:line="312" w:lineRule="auto"/>
        <w:rPr>
          <w:rFonts w:ascii="Times New Roman" w:hAnsi="Times New Roman" w:eastAsia="黑体" w:cs="Times New Roman"/>
        </w:rPr>
      </w:pPr>
    </w:p>
    <w:p>
      <w:pPr>
        <w:spacing w:line="312" w:lineRule="auto"/>
        <w:rPr>
          <w:rFonts w:ascii="Times New Roman" w:hAnsi="Times New Roman" w:eastAsia="黑体" w:cs="Times New Roman"/>
        </w:rPr>
      </w:pPr>
    </w:p>
    <w:p>
      <w:pPr>
        <w:spacing w:line="312" w:lineRule="auto"/>
        <w:rPr>
          <w:rFonts w:ascii="Times New Roman" w:hAnsi="Times New Roman" w:eastAsia="黑体" w:cs="Times New Roman"/>
        </w:rPr>
      </w:pPr>
    </w:p>
    <w:p>
      <w:pPr>
        <w:spacing w:line="312" w:lineRule="auto"/>
        <w:jc w:val="center"/>
        <w:rPr>
          <w:rFonts w:ascii="BMWTypeNext Thin" w:hAnsi="BMWTypeNext Thin" w:eastAsia="黑体" w:cs="宋体"/>
          <w:sz w:val="24"/>
          <w:szCs w:val="24"/>
        </w:rPr>
      </w:pPr>
      <w:r>
        <w:rPr>
          <w:rFonts w:ascii="BMWTypeNext Thin" w:hAnsi="BMWTypeNext Thin" w:eastAsia="黑体" w:cs="宋体"/>
          <w:sz w:val="24"/>
          <w:szCs w:val="24"/>
        </w:rPr>
        <w:t>用户须知：为安全</w:t>
      </w:r>
      <w:r>
        <w:rPr>
          <w:rFonts w:hint="eastAsia" w:ascii="BMWTypeNext Thin" w:hAnsi="BMWTypeNext Thin" w:eastAsia="黑体" w:cs="宋体"/>
          <w:sz w:val="24"/>
          <w:szCs w:val="24"/>
        </w:rPr>
        <w:t>方便</w:t>
      </w:r>
      <w:r>
        <w:rPr>
          <w:rFonts w:ascii="BMWTypeNext Thin" w:hAnsi="BMWTypeNext Thin" w:eastAsia="黑体" w:cs="宋体"/>
          <w:sz w:val="24"/>
          <w:szCs w:val="24"/>
        </w:rPr>
        <w:t>起见，请仔细阅读并随车保留备用。</w:t>
      </w:r>
    </w:p>
    <w:p>
      <w:pPr>
        <w:spacing w:line="312" w:lineRule="auto"/>
        <w:rPr>
          <w:rFonts w:ascii="Times New Roman" w:hAnsi="Times New Roman" w:eastAsia="黑体" w:cs="Times New Roman"/>
        </w:rPr>
      </w:pPr>
    </w:p>
    <w:p>
      <w:pPr>
        <w:spacing w:line="312" w:lineRule="auto"/>
        <w:rPr>
          <w:rFonts w:ascii="Times New Roman" w:hAnsi="Times New Roman" w:eastAsia="黑体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jc w:val="center"/>
        <w:rPr>
          <w:rFonts w:ascii="Times New Roman" w:hAnsi="Times New Roman" w:cs="Times New Roman"/>
        </w:rPr>
      </w:pPr>
      <w:r>
        <w:rPr>
          <w:rFonts w:hint="eastAsia" w:ascii="简宋" w:hAnsi="简宋" w:eastAsia="简宋"/>
        </w:rPr>
        <w:t xml:space="preserve">           </w:t>
      </w: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sdt>
      <w:sdtPr>
        <w:rPr>
          <w:rFonts w:hint="eastAsia" w:ascii="宋体" w:hAnsi="宋体" w:eastAsia="宋体" w:cs="宋体"/>
          <w:lang w:val="zh-CN"/>
        </w:rPr>
        <w:id w:val="-227310080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/>
          <w:bCs/>
          <w:lang w:val="zh-CN"/>
        </w:rPr>
      </w:sdtEndPr>
      <w:sdtContent>
        <w:p>
          <w:pPr>
            <w:jc w:val="center"/>
            <w:rPr>
              <w:rFonts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rFonts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fldChar w:fldCharType="begin"/>
          </w:r>
          <w:r>
            <w:instrText xml:space="preserve"> HYPERLINK \l "_Toc13657"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</w:rPr>
            <w:t>一．安全须知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_Toc13657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3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宋体" w:hAnsi="宋体" w:eastAsia="宋体" w:cs="宋体"/>
            </w:rPr>
          </w:pPr>
          <w:r>
            <w:fldChar w:fldCharType="begin"/>
          </w:r>
          <w:r>
            <w:instrText xml:space="preserve"> HYPERLINK \l "_Toc6769"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</w:rPr>
            <w:t>二．ETC 概要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_Toc6769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3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宋体" w:hAnsi="宋体" w:eastAsia="宋体" w:cs="宋体"/>
            </w:rPr>
          </w:pPr>
          <w:r>
            <w:fldChar w:fldCharType="begin"/>
          </w:r>
          <w:r>
            <w:instrText xml:space="preserve"> HYPERLINK \l "_Toc21428"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</w:rPr>
            <w:t>三．产品介绍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_Toc21428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4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宋体" w:hAnsi="宋体" w:eastAsia="宋体" w:cs="宋体"/>
            </w:rPr>
          </w:pPr>
          <w:r>
            <w:fldChar w:fldCharType="begin"/>
          </w:r>
          <w:r>
            <w:instrText xml:space="preserve"> HYPERLINK \l "_Toc19127"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</w:rPr>
            <w:t>四．ETC激活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_Toc19127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5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宋体" w:hAnsi="宋体" w:eastAsia="宋体" w:cs="宋体"/>
            </w:rPr>
          </w:pPr>
          <w:r>
            <w:fldChar w:fldCharType="begin"/>
          </w:r>
          <w:r>
            <w:instrText xml:space="preserve"> HYPERLINK \l "_Toc10236"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</w:rPr>
            <w:t>五．常见问题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_Toc10236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7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宋体" w:hAnsi="宋体" w:eastAsia="宋体" w:cs="宋体"/>
            </w:rPr>
          </w:pPr>
          <w:r>
            <w:fldChar w:fldCharType="begin"/>
          </w:r>
          <w:r>
            <w:instrText xml:space="preserve"> HYPERLINK \l "_Toc2352"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</w:rPr>
            <w:t>六．设备保养注意事项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_Toc2352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7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宋体" w:hAnsi="宋体" w:eastAsia="宋体" w:cs="宋体"/>
            </w:rPr>
          </w:pPr>
          <w:r>
            <w:fldChar w:fldCharType="begin"/>
          </w:r>
          <w:r>
            <w:instrText xml:space="preserve"> HYPERLINK \l "_Toc31422"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</w:rPr>
            <w:t>七．售后服务热线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_Toc31422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8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spacing w:line="312" w:lineRule="auto"/>
            <w:rPr>
              <w:rFonts w:ascii="Times New Roman" w:hAnsi="Times New Roman" w:cs="Times New Roman"/>
            </w:rPr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</w:sdtContent>
    </w:sdt>
    <w:p>
      <w:pPr>
        <w:pStyle w:val="17"/>
        <w:tabs>
          <w:tab w:val="right" w:leader="dot" w:pos="8306"/>
        </w:tabs>
        <w:spacing w:line="312" w:lineRule="auto"/>
        <w:rPr>
          <w:sz w:val="21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tabs>
          <w:tab w:val="left" w:pos="5435"/>
        </w:tabs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pStyle w:val="3"/>
        <w:spacing w:line="312" w:lineRule="auto"/>
        <w:rPr>
          <w:rFonts w:ascii="Times New Roman" w:hAnsi="Times New Roman" w:eastAsia="宋体" w:cs="Times New Roman"/>
          <w:sz w:val="30"/>
          <w:szCs w:val="30"/>
        </w:rPr>
      </w:pPr>
    </w:p>
    <w:p/>
    <w:p>
      <w:pPr>
        <w:pStyle w:val="3"/>
        <w:spacing w:line="312" w:lineRule="auto"/>
        <w:rPr>
          <w:rFonts w:ascii="Times New Roman" w:hAnsi="Times New Roman" w:eastAsia="宋体" w:cs="Times New Roman"/>
          <w:sz w:val="30"/>
          <w:szCs w:val="30"/>
        </w:rPr>
      </w:pPr>
    </w:p>
    <w:p>
      <w:pPr>
        <w:pStyle w:val="3"/>
        <w:spacing w:line="312" w:lineRule="auto"/>
        <w:rPr>
          <w:rFonts w:ascii="Times New Roman" w:hAnsi="Times New Roman" w:eastAsia="宋体" w:cs="Times New Roman"/>
          <w:sz w:val="30"/>
          <w:szCs w:val="30"/>
        </w:rPr>
      </w:pPr>
    </w:p>
    <w:p>
      <w:pPr>
        <w:pStyle w:val="3"/>
        <w:spacing w:line="312" w:lineRule="auto"/>
        <w:rPr>
          <w:rFonts w:ascii="Times New Roman" w:hAnsi="Times New Roman" w:eastAsia="宋体" w:cs="Times New Roman"/>
          <w:sz w:val="30"/>
          <w:szCs w:val="30"/>
        </w:rPr>
      </w:pPr>
    </w:p>
    <w:p/>
    <w:p>
      <w:pPr>
        <w:pStyle w:val="3"/>
        <w:numPr>
          <w:ilvl w:val="0"/>
          <w:numId w:val="1"/>
        </w:numPr>
        <w:spacing w:line="312" w:lineRule="auto"/>
        <w:rPr>
          <w:rFonts w:ascii="Times New Roman" w:hAnsi="Times New Roman" w:eastAsia="宋体" w:cs="Times New Roman"/>
          <w:sz w:val="30"/>
          <w:szCs w:val="30"/>
        </w:rPr>
      </w:pPr>
      <w:bookmarkStart w:id="0" w:name="_Toc13657"/>
      <w:r>
        <w:rPr>
          <w:rFonts w:ascii="Times New Roman" w:hAnsi="Times New Roman" w:eastAsia="宋体" w:cs="Times New Roman"/>
          <w:sz w:val="30"/>
          <w:szCs w:val="30"/>
        </w:rPr>
        <w:t>安全须知</w:t>
      </w:r>
      <w:bookmarkEnd w:id="0"/>
    </w:p>
    <w:p>
      <w:pPr>
        <w:spacing w:line="312" w:lineRule="auto"/>
        <w:rPr>
          <w:rFonts w:ascii="宋体" w:hAnsi="宋体" w:eastAsia="宋体" w:cs="宋体"/>
        </w:rPr>
      </w:pPr>
      <w:r>
        <w:rPr>
          <w:rFonts w:ascii="BMWTypeNext Thin" w:hAnsi="BMWTypeNext Thin"/>
          <w:lang w:eastAsia="ko-KR"/>
        </w:rPr>
        <w:t>1.</w:t>
      </w:r>
      <w:r>
        <w:rPr>
          <w:rFonts w:ascii="BMWTypeNext Thin" w:hAnsi="BMWTypeNext Thin"/>
          <w:lang w:eastAsia="ko-KR"/>
        </w:rPr>
        <w:tab/>
      </w:r>
      <w:r>
        <w:rPr>
          <w:rFonts w:hint="eastAsia" w:ascii="宋体" w:hAnsi="宋体" w:eastAsia="宋体" w:cs="宋体"/>
          <w:lang w:eastAsia="ko-KR"/>
        </w:rPr>
        <w:t>行驶前</w:t>
      </w:r>
    </w:p>
    <w:p>
      <w:pPr>
        <w:pStyle w:val="20"/>
        <w:numPr>
          <w:ilvl w:val="0"/>
          <w:numId w:val="2"/>
        </w:numPr>
        <w:spacing w:line="312" w:lineRule="auto"/>
        <w:ind w:firstLineChars="0"/>
        <w:rPr>
          <w:rFonts w:ascii="宋体" w:hAnsi="宋体" w:eastAsia="宋体" w:cs="宋体"/>
          <w:szCs w:val="21"/>
          <w:lang w:eastAsia="ko-KR"/>
        </w:rPr>
      </w:pPr>
      <w:r>
        <w:rPr>
          <w:rFonts w:hint="eastAsia" w:ascii="宋体" w:hAnsi="宋体" w:eastAsia="宋体" w:cs="宋体"/>
          <w:szCs w:val="21"/>
          <w:lang w:eastAsia="ko-KR"/>
        </w:rPr>
        <w:t>禁止拆卸、改造车载设备制造商销售的</w:t>
      </w:r>
      <w:r>
        <w:rPr>
          <w:rFonts w:hint="eastAsia" w:ascii="宋体" w:hAnsi="宋体" w:eastAsia="宋体" w:cs="宋体"/>
          <w:szCs w:val="21"/>
        </w:rPr>
        <w:t>ETC</w:t>
      </w:r>
      <w:r>
        <w:rPr>
          <w:rFonts w:hint="eastAsia" w:ascii="宋体" w:hAnsi="宋体" w:eastAsia="宋体" w:cs="宋体"/>
          <w:szCs w:val="21"/>
          <w:lang w:eastAsia="ko-KR"/>
        </w:rPr>
        <w:t>。</w:t>
      </w:r>
    </w:p>
    <w:p>
      <w:pPr>
        <w:pStyle w:val="20"/>
        <w:numPr>
          <w:ilvl w:val="0"/>
          <w:numId w:val="2"/>
        </w:numPr>
        <w:spacing w:line="312" w:lineRule="auto"/>
        <w:ind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如果有异物、进水、冒烟、异响、异味等情况，请立即停止使用，否则可能会造成事故、火灾或触电。</w:t>
      </w:r>
    </w:p>
    <w:p>
      <w:pPr>
        <w:pStyle w:val="20"/>
        <w:numPr>
          <w:ilvl w:val="0"/>
          <w:numId w:val="2"/>
        </w:numPr>
        <w:spacing w:line="312" w:lineRule="auto"/>
        <w:ind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请不要将金属或可能造成电磁干扰的物品安装在ETC周围，或随意变更安装位置等，以免造成ETC交易失败。</w:t>
      </w:r>
    </w:p>
    <w:p>
      <w:pPr>
        <w:numPr>
          <w:ilvl w:val="0"/>
          <w:numId w:val="3"/>
        </w:numPr>
        <w:spacing w:line="312" w:lineRule="auto"/>
        <w:rPr>
          <w:rFonts w:ascii="BMWTypeNext Thin" w:hAnsi="BMWTypeNext Thin"/>
          <w:lang w:eastAsia="ko-KR"/>
        </w:rPr>
      </w:pPr>
      <w:r>
        <w:rPr>
          <w:rFonts w:ascii="BMWTypeNext Thin" w:hAnsi="BMWTypeNext Thin"/>
          <w:lang w:eastAsia="ko-KR"/>
        </w:rPr>
        <w:t>行驶中</w:t>
      </w:r>
    </w:p>
    <w:p>
      <w:pPr>
        <w:pStyle w:val="20"/>
        <w:numPr>
          <w:ilvl w:val="0"/>
          <w:numId w:val="4"/>
        </w:numPr>
        <w:spacing w:line="312" w:lineRule="auto"/>
        <w:ind w:firstLineChars="0"/>
        <w:rPr>
          <w:rFonts w:ascii="宋体" w:hAnsi="宋体" w:eastAsia="宋体" w:cs="宋体"/>
          <w:szCs w:val="21"/>
          <w:lang w:eastAsia="ko-KR"/>
        </w:rPr>
      </w:pPr>
      <w:r>
        <w:rPr>
          <w:rFonts w:hint="eastAsia" w:ascii="宋体" w:hAnsi="宋体" w:eastAsia="宋体" w:cs="宋体"/>
          <w:szCs w:val="21"/>
          <w:lang w:eastAsia="ko-KR"/>
        </w:rPr>
        <w:t>在</w:t>
      </w:r>
      <w:r>
        <w:rPr>
          <w:rFonts w:hint="eastAsia" w:ascii="宋体" w:hAnsi="宋体" w:eastAsia="宋体" w:cs="宋体"/>
          <w:szCs w:val="21"/>
        </w:rPr>
        <w:t>通过ETC</w:t>
      </w:r>
      <w:r>
        <w:rPr>
          <w:rFonts w:hint="eastAsia" w:ascii="宋体" w:hAnsi="宋体" w:eastAsia="宋体" w:cs="宋体"/>
          <w:szCs w:val="21"/>
          <w:lang w:eastAsia="ko-KR"/>
        </w:rPr>
        <w:t>收费站</w:t>
      </w:r>
      <w:r>
        <w:rPr>
          <w:rFonts w:hint="eastAsia" w:ascii="宋体" w:hAnsi="宋体" w:eastAsia="宋体" w:cs="宋体"/>
          <w:szCs w:val="21"/>
        </w:rPr>
        <w:t>之前</w:t>
      </w:r>
      <w:r>
        <w:rPr>
          <w:rFonts w:hint="eastAsia" w:ascii="宋体" w:hAnsi="宋体" w:eastAsia="宋体" w:cs="宋体"/>
          <w:szCs w:val="21"/>
          <w:lang w:eastAsia="ko-KR"/>
        </w:rPr>
        <w:t>，请根据</w:t>
      </w:r>
      <w:r>
        <w:rPr>
          <w:rFonts w:hint="eastAsia" w:ascii="宋体" w:hAnsi="宋体" w:eastAsia="宋体" w:cs="宋体"/>
          <w:szCs w:val="21"/>
        </w:rPr>
        <w:t>路侧</w:t>
      </w:r>
      <w:r>
        <w:rPr>
          <w:rFonts w:hint="eastAsia" w:ascii="宋体" w:hAnsi="宋体" w:eastAsia="宋体" w:cs="宋体"/>
          <w:szCs w:val="21"/>
          <w:lang w:eastAsia="ko-KR"/>
        </w:rPr>
        <w:t>指示牌等，确认ETC车道</w:t>
      </w:r>
      <w:r>
        <w:rPr>
          <w:rFonts w:hint="eastAsia" w:ascii="宋体" w:hAnsi="宋体" w:eastAsia="宋体" w:cs="宋体"/>
          <w:szCs w:val="21"/>
        </w:rPr>
        <w:t>通行正常后从ETC专用车道或者MTC/ETC混合车道通行。</w:t>
      </w:r>
    </w:p>
    <w:p>
      <w:pPr>
        <w:pStyle w:val="20"/>
        <w:numPr>
          <w:ilvl w:val="0"/>
          <w:numId w:val="4"/>
        </w:numPr>
        <w:spacing w:line="312" w:lineRule="auto"/>
        <w:ind w:firstLineChars="0"/>
        <w:rPr>
          <w:rFonts w:ascii="宋体" w:hAnsi="宋体" w:eastAsia="宋体" w:cs="宋体"/>
          <w:szCs w:val="21"/>
          <w:lang w:eastAsia="ko-KR"/>
        </w:rPr>
      </w:pPr>
      <w:r>
        <w:rPr>
          <w:rFonts w:hint="eastAsia" w:ascii="宋体" w:hAnsi="宋体" w:eastAsia="宋体" w:cs="宋体"/>
          <w:szCs w:val="21"/>
          <w:lang w:eastAsia="ko-KR"/>
        </w:rPr>
        <w:t>通过ETC车道时，请与前车保持充分的车间距，减速</w:t>
      </w:r>
      <w:r>
        <w:rPr>
          <w:rFonts w:hint="eastAsia" w:ascii="宋体" w:hAnsi="宋体" w:eastAsia="宋体" w:cs="宋体"/>
          <w:szCs w:val="21"/>
        </w:rPr>
        <w:t>至提示牌建议车速（如</w:t>
      </w:r>
      <w:r>
        <w:rPr>
          <w:rFonts w:hint="eastAsia" w:ascii="宋体" w:hAnsi="宋体" w:eastAsia="宋体" w:cs="宋体"/>
          <w:szCs w:val="21"/>
          <w:lang w:eastAsia="ko-KR"/>
        </w:rPr>
        <w:t>20km/h以下</w:t>
      </w:r>
      <w:r>
        <w:rPr>
          <w:rFonts w:hint="eastAsia" w:ascii="宋体" w:hAnsi="宋体" w:eastAsia="宋体" w:cs="宋体"/>
          <w:szCs w:val="21"/>
        </w:rPr>
        <w:t>）</w:t>
      </w:r>
      <w:r>
        <w:rPr>
          <w:rFonts w:hint="eastAsia" w:ascii="宋体" w:hAnsi="宋体" w:eastAsia="宋体" w:cs="宋体"/>
          <w:szCs w:val="21"/>
          <w:lang w:eastAsia="ko-KR"/>
        </w:rPr>
        <w:t>，确认栏杆打开后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szCs w:val="21"/>
          <w:lang w:eastAsia="ko-KR"/>
        </w:rPr>
        <w:t>再通行。</w:t>
      </w:r>
    </w:p>
    <w:p>
      <w:pPr>
        <w:pStyle w:val="20"/>
        <w:numPr>
          <w:ilvl w:val="0"/>
          <w:numId w:val="4"/>
        </w:numPr>
        <w:spacing w:line="312" w:lineRule="auto"/>
        <w:ind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请注意，</w:t>
      </w:r>
      <w:r>
        <w:rPr>
          <w:rFonts w:hint="eastAsia" w:ascii="宋体" w:hAnsi="宋体" w:eastAsia="宋体" w:cs="宋体"/>
          <w:szCs w:val="21"/>
          <w:lang w:eastAsia="ko-KR"/>
        </w:rPr>
        <w:t>在</w:t>
      </w:r>
      <w:r>
        <w:rPr>
          <w:rFonts w:hint="eastAsia" w:ascii="宋体" w:hAnsi="宋体" w:eastAsia="宋体" w:cs="宋体"/>
          <w:szCs w:val="21"/>
        </w:rPr>
        <w:t>ETC</w:t>
      </w:r>
      <w:r>
        <w:rPr>
          <w:rFonts w:hint="eastAsia" w:ascii="宋体" w:hAnsi="宋体" w:eastAsia="宋体" w:cs="宋体"/>
          <w:szCs w:val="21"/>
          <w:lang w:eastAsia="ko-KR"/>
        </w:rPr>
        <w:t>和</w:t>
      </w:r>
      <w:r>
        <w:rPr>
          <w:rFonts w:hint="eastAsia" w:ascii="宋体" w:hAnsi="宋体" w:eastAsia="宋体" w:cs="宋体"/>
          <w:szCs w:val="21"/>
        </w:rPr>
        <w:t>路侧天线</w:t>
      </w:r>
      <w:r>
        <w:rPr>
          <w:rFonts w:hint="eastAsia" w:ascii="宋体" w:hAnsi="宋体" w:eastAsia="宋体" w:cs="宋体"/>
          <w:szCs w:val="21"/>
          <w:lang w:eastAsia="ko-KR"/>
        </w:rPr>
        <w:t>通信异常时</w:t>
      </w:r>
      <w:r>
        <w:rPr>
          <w:rFonts w:hint="eastAsia" w:ascii="宋体" w:hAnsi="宋体" w:eastAsia="宋体" w:cs="宋体"/>
          <w:szCs w:val="21"/>
        </w:rPr>
        <w:t>（射频信号受到干扰，或ETC设备故障、账户异常等），可能导致</w:t>
      </w:r>
      <w:r>
        <w:rPr>
          <w:rFonts w:hint="eastAsia" w:ascii="宋体" w:hAnsi="宋体" w:eastAsia="宋体" w:cs="宋体"/>
          <w:szCs w:val="21"/>
          <w:lang w:eastAsia="ko-KR"/>
        </w:rPr>
        <w:t>ETC车道上的栏杆无法</w:t>
      </w:r>
      <w:r>
        <w:rPr>
          <w:rFonts w:hint="eastAsia" w:ascii="宋体" w:hAnsi="宋体" w:eastAsia="宋体" w:cs="宋体"/>
          <w:szCs w:val="21"/>
        </w:rPr>
        <w:t>正常</w:t>
      </w:r>
      <w:r>
        <w:rPr>
          <w:rFonts w:hint="eastAsia" w:ascii="宋体" w:hAnsi="宋体" w:eastAsia="宋体" w:cs="宋体"/>
          <w:szCs w:val="21"/>
          <w:lang w:eastAsia="ko-KR"/>
        </w:rPr>
        <w:t>打开。另外，</w:t>
      </w:r>
      <w:r>
        <w:rPr>
          <w:rFonts w:hint="eastAsia" w:ascii="宋体" w:hAnsi="宋体" w:eastAsia="宋体" w:cs="宋体"/>
          <w:szCs w:val="21"/>
        </w:rPr>
        <w:t>如果车辆在通过路侧天线时，</w:t>
      </w:r>
      <w:r>
        <w:rPr>
          <w:rFonts w:hint="eastAsia" w:ascii="宋体" w:hAnsi="宋体" w:eastAsia="宋体" w:cs="宋体"/>
          <w:szCs w:val="21"/>
          <w:lang w:eastAsia="ko-KR"/>
        </w:rPr>
        <w:t>与前车距离较近，</w:t>
      </w:r>
      <w:r>
        <w:rPr>
          <w:rFonts w:hint="eastAsia" w:ascii="宋体" w:hAnsi="宋体" w:eastAsia="宋体" w:cs="宋体"/>
          <w:szCs w:val="21"/>
        </w:rPr>
        <w:t>本车ETC无法被识别，或栏杆不能及时打开，可能导致撞杆事故。</w:t>
      </w:r>
    </w:p>
    <w:p>
      <w:pPr>
        <w:pStyle w:val="20"/>
        <w:numPr>
          <w:ilvl w:val="0"/>
          <w:numId w:val="4"/>
        </w:numPr>
        <w:spacing w:line="312" w:lineRule="auto"/>
        <w:ind w:firstLineChars="0"/>
        <w:rPr>
          <w:rFonts w:ascii="宋体" w:hAnsi="宋体" w:eastAsia="宋体" w:cs="宋体"/>
          <w:szCs w:val="21"/>
          <w:lang w:eastAsia="ko-KR"/>
        </w:rPr>
      </w:pPr>
      <w:r>
        <w:rPr>
          <w:rFonts w:hint="eastAsia" w:ascii="宋体" w:hAnsi="宋体" w:eastAsia="宋体" w:cs="宋体"/>
          <w:szCs w:val="21"/>
        </w:rPr>
        <w:t>通过栏杆后，请注意从相邻车道汇合而来的车辆。</w:t>
      </w:r>
    </w:p>
    <w:p>
      <w:pPr>
        <w:pStyle w:val="20"/>
        <w:numPr>
          <w:ilvl w:val="0"/>
          <w:numId w:val="4"/>
        </w:numPr>
        <w:spacing w:line="312" w:lineRule="auto"/>
        <w:ind w:firstLineChars="0"/>
        <w:rPr>
          <w:rFonts w:ascii="宋体" w:hAnsi="宋体" w:eastAsia="宋体" w:cs="宋体"/>
          <w:szCs w:val="21"/>
          <w:lang w:eastAsia="ko-KR"/>
        </w:rPr>
      </w:pPr>
      <w:r>
        <w:rPr>
          <w:rFonts w:hint="eastAsia" w:ascii="宋体" w:hAnsi="宋体" w:eastAsia="宋体" w:cs="宋体"/>
          <w:szCs w:val="21"/>
        </w:rPr>
        <w:t>扣费和通行费用账单可能会有延迟。</w:t>
      </w:r>
    </w:p>
    <w:p>
      <w:pPr>
        <w:pStyle w:val="20"/>
        <w:numPr>
          <w:ilvl w:val="0"/>
          <w:numId w:val="4"/>
        </w:numPr>
        <w:spacing w:line="312" w:lineRule="auto"/>
        <w:ind w:firstLineChars="0"/>
        <w:rPr>
          <w:rFonts w:ascii="宋体" w:hAnsi="宋体" w:eastAsia="宋体" w:cs="宋体"/>
          <w:szCs w:val="21"/>
          <w:lang w:eastAsia="ko-KR"/>
        </w:rPr>
      </w:pPr>
      <w:r>
        <w:rPr>
          <w:rFonts w:hint="eastAsia" w:ascii="宋体" w:hAnsi="宋体" w:eastAsia="宋体" w:cs="宋体"/>
          <w:szCs w:val="21"/>
        </w:rPr>
        <w:t>具体扣费标准，请参照各收费场景标准。</w:t>
      </w:r>
    </w:p>
    <w:p>
      <w:pPr>
        <w:pStyle w:val="3"/>
        <w:spacing w:line="312" w:lineRule="auto"/>
        <w:rPr>
          <w:rFonts w:ascii="宋体" w:hAnsi="宋体" w:eastAsia="宋体" w:cs="宋体"/>
          <w:sz w:val="30"/>
          <w:szCs w:val="30"/>
        </w:rPr>
      </w:pPr>
      <w:bookmarkStart w:id="1" w:name="_Toc6769"/>
      <w:bookmarkStart w:id="2" w:name="_Toc24945"/>
      <w:r>
        <w:rPr>
          <w:rFonts w:hint="eastAsia" w:ascii="宋体" w:hAnsi="宋体" w:eastAsia="宋体" w:cs="宋体"/>
          <w:sz w:val="30"/>
          <w:szCs w:val="30"/>
        </w:rPr>
        <w:t>二．ETC 概要</w:t>
      </w:r>
      <w:bookmarkEnd w:id="1"/>
      <w:bookmarkEnd w:id="2"/>
    </w:p>
    <w:p>
      <w:pPr>
        <w:spacing w:line="312" w:lineRule="auto"/>
        <w:ind w:firstLine="420" w:firstLineChars="200"/>
        <w:rPr>
          <w:rFonts w:ascii="BMWTypeNext Thin" w:hAnsi="BMWTypeNext Thin" w:eastAsia="宋体" w:cs="宋体"/>
          <w:szCs w:val="21"/>
        </w:rPr>
      </w:pPr>
      <w:r>
        <w:rPr>
          <w:rFonts w:ascii="BMWTypeNext Thin" w:hAnsi="BMWTypeNext Thin" w:eastAsia="宋体" w:cs="宋体"/>
          <w:szCs w:val="21"/>
        </w:rPr>
        <w:t>电子不停车收费系统（ETC）以先进的计算机网络技术及专用短程通信技术（DSRC）为保障，路侧单元（RSU）和车载单元（ETC电子标签）之间采用专用短程通信技术形成通信链路完成车辆通行信息交互。车辆无需在收费站停车，可顺利通行。由收费计算机完成对用户电子账户的扣款操作，实现非现金支付。</w:t>
      </w:r>
    </w:p>
    <w:p>
      <w:pPr>
        <w:jc w:val="center"/>
      </w:pPr>
      <w:r>
        <w:rPr>
          <w:rFonts w:ascii="BMWTypeNext Thin" w:hAnsi="BMWTypeNext Thin" w:eastAsia="宋体" w:cs="宋体"/>
          <w:szCs w:val="21"/>
        </w:rPr>
        <w:drawing>
          <wp:inline distT="0" distB="0" distL="114300" distR="114300">
            <wp:extent cx="4326255" cy="1797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6111" cy="180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12" w:lineRule="auto"/>
        <w:rPr>
          <w:rFonts w:ascii="BMWTypeNext Thin" w:hAnsi="BMWTypeNext Thin" w:eastAsia="宋体" w:cs="宋体"/>
          <w:sz w:val="30"/>
          <w:szCs w:val="30"/>
        </w:rPr>
      </w:pPr>
      <w:bookmarkStart w:id="3" w:name="_Toc1682"/>
      <w:bookmarkStart w:id="4" w:name="_Toc21428"/>
      <w:r>
        <w:rPr>
          <w:rFonts w:hint="eastAsia" w:ascii="BMWTypeNext Thin" w:hAnsi="BMWTypeNext Thin" w:eastAsia="宋体" w:cs="宋体"/>
          <w:sz w:val="30"/>
          <w:szCs w:val="30"/>
        </w:rPr>
        <w:t>三</w:t>
      </w:r>
      <w:r>
        <w:rPr>
          <w:rFonts w:ascii="BMWTypeNext Thin" w:hAnsi="BMWTypeNext Thin" w:eastAsia="宋体" w:cs="宋体"/>
          <w:sz w:val="30"/>
          <w:szCs w:val="30"/>
        </w:rPr>
        <w:t>．产品介绍</w:t>
      </w:r>
      <w:bookmarkEnd w:id="3"/>
      <w:bookmarkEnd w:id="4"/>
    </w:p>
    <w:p>
      <w:pPr>
        <w:spacing w:line="312" w:lineRule="auto"/>
        <w:rPr>
          <w:rFonts w:ascii="Times New Roman" w:hAnsi="Times New Roman" w:cs="Times New Roma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1704975</wp:posOffset>
                </wp:positionV>
                <wp:extent cx="805180" cy="282575"/>
                <wp:effectExtent l="0" t="0" r="7620" b="9525"/>
                <wp:wrapNone/>
                <wp:docPr id="3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jc w:val="left"/>
                              <w:rPr>
                                <w:rFonts w:ascii="宋体" w:hAnsi="宋体" w:eastAsia="宋体" w:cs="宋体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蓝牙开关</w:t>
                            </w:r>
                          </w:p>
                          <w:p>
                            <w:pPr>
                              <w:pStyle w:val="10"/>
                              <w:jc w:val="left"/>
                              <w:rPr>
                                <w:rFonts w:ascii="宋体" w:hAnsi="宋体" w:eastAsia="宋体" w:cs="宋体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.95pt;margin-top:134.25pt;height:22.25pt;width:63.4pt;z-index:251660288;mso-width-relative:page;mso-height-relative:page;" fillcolor="#FFFFFF [3201]" filled="t" stroked="f" coordsize="21600,21600" o:gfxdata="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phSI9cAAAAJAQAADwAAAAAAAAABACAAAAAiAAAAZHJzL2Rvd25yZXYueG1s&#10;UEsBAhQAFAAAAAgAh07iQAWVfZT5AQAA5QMAAA4AAAAAAAAAAQAgAAAAJgEAAGRycy9lMm9Eb2Mu&#10;eG1sUEsFBgAAAAAGAAYAWQEAAJE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jc w:val="left"/>
                        <w:rPr>
                          <w:rFonts w:ascii="宋体" w:hAnsi="宋体" w:eastAsia="宋体" w:cs="宋体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蓝牙开关</w:t>
                      </w:r>
                    </w:p>
                    <w:p>
                      <w:pPr>
                        <w:pStyle w:val="10"/>
                        <w:jc w:val="left"/>
                        <w:rPr>
                          <w:rFonts w:ascii="宋体" w:hAnsi="宋体" w:eastAsia="宋体" w:cs="宋体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918845</wp:posOffset>
                </wp:positionV>
                <wp:extent cx="687070" cy="360680"/>
                <wp:effectExtent l="0" t="0" r="11430" b="7620"/>
                <wp:wrapNone/>
                <wp:docPr id="2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jc w:val="left"/>
                              <w:rPr>
                                <w:rFonts w:ascii="宋体" w:hAnsi="宋体" w:eastAsia="宋体" w:cs="宋体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指示灯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.6pt;margin-top:72.35pt;height:28.4pt;width:54.1pt;z-index:251659264;mso-width-relative:page;mso-height-relative:page;" fillcolor="#FFFFFF [3201]" filled="t" stroked="f" coordsize="21600,21600" o:gfxdata="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8djfb1wAAAAkBAAAPAAAAAAAAAAEAIAAAACIAAABkcnMvZG93bnJldi54&#10;bWxQSwECFAAUAAAACACHTuJAM6finPsBAADkAwAADgAAAAAAAAABACAAAAAmAQAAZHJzL2Uyb0Rv&#10;Yy54bWxQSwUGAAAAAAYABgBZAQAAk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jc w:val="left"/>
                        <w:rPr>
                          <w:rFonts w:ascii="宋体" w:hAnsi="宋体" w:eastAsia="宋体" w:cs="宋体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指示灯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4150" cy="2871470"/>
            <wp:effectExtent l="0" t="0" r="0" b="0"/>
            <wp:docPr id="1484" name="图片 20" descr="180B俯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图片 20" descr="180B俯视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1846580</wp:posOffset>
                </wp:positionV>
                <wp:extent cx="1357630" cy="6985"/>
                <wp:effectExtent l="0" t="0" r="0" b="0"/>
                <wp:wrapNone/>
                <wp:docPr id="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7630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o:spt="20" style="position:absolute;left:0pt;margin-left:66.35pt;margin-top:145.4pt;height:0.55pt;width:106.9pt;z-index:251664384;mso-width-relative:page;mso-height-relative:page;" filled="f" stroked="t" coordsize="21600,21600" o:gfxdata="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aGxds1gAAAAsBAAAPAAAAAAAAAAEAIAAAACIAAABkcnMvZG93bnJldi54bWxQ&#10;SwECFAAUAAAACACHTuJAySZJrfkBAADXAwAADgAAAAAAAAABACAAAAAlAQAAZHJzL2Uyb0RvYy54&#10;bWxQSwUGAAAAAAYABgBZAQAAkAUAAAAA&#10;">
                <v:fill on="f" focussize="0,0"/>
                <v:stroke color="#BE4B48 [3205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1053465</wp:posOffset>
                </wp:positionV>
                <wp:extent cx="1204595" cy="1905"/>
                <wp:effectExtent l="0" t="0" r="0" b="0"/>
                <wp:wrapNone/>
                <wp:docPr id="4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459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o:spt="20" style="position:absolute;left:0pt;margin-left:65.55pt;margin-top:82.95pt;height:0.15pt;width:94.85pt;z-index:251663360;mso-width-relative:page;mso-height-relative:page;" filled="f" stroked="t" coordsize="21600,21600" o:gfxdata="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M+Ql31gAAAAsBAAAPAAAAAAAAAAEAIAAAACIAAABkcnMvZG93bnJldi54bWxQ&#10;SwECFAAUAAAACACHTuJAMB/77vkBAADXAwAADgAAAAAAAAABACAAAAAlAQAAZHJzL2Uyb0RvYy54&#10;bWxQSwUGAAAAAAYABgBZAQAAkAUAAAAA&#10;">
                <v:fill on="f" focussize="0,0"/>
                <v:stroke color="#BE4B48 [3205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312" w:lineRule="auto"/>
        <w:jc w:val="center"/>
        <w:rPr>
          <w:rFonts w:ascii="Times New Roman" w:hAnsi="Times New Roman" w:cs="Times New Roma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652780</wp:posOffset>
                </wp:positionV>
                <wp:extent cx="763270" cy="287655"/>
                <wp:effectExtent l="0" t="0" r="11430" b="4445"/>
                <wp:wrapNone/>
                <wp:docPr id="25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jc w:val="left"/>
                              <w:rPr>
                                <w:rFonts w:ascii="宋体" w:hAnsi="宋体" w:eastAsia="宋体" w:cs="宋体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防拆开关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5.75pt;margin-top:51.4pt;height:22.65pt;width:60.1pt;z-index:251661312;mso-width-relative:page;mso-height-relative:page;" fillcolor="#FFFFFF [3201]" filled="t" stroked="f" coordsize="21600,21600" o:gfxdata="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Qwp5B1wAAAAoBAAAPAAAAAAAAAAEAIAAAACIAAABkcnMvZG93bnJldi54bWxQSwECFAAUAAAA&#10;CACHTuJAQItm2e8BAADMAwAADgAAAAAAAAABACAAAAAmAQAAZHJzL2Uyb0RvYy54bWxQSwUGAAAA&#10;AAYABgBZAQAAh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jc w:val="left"/>
                        <w:rPr>
                          <w:rFonts w:ascii="宋体" w:hAnsi="宋体" w:eastAsia="宋体" w:cs="宋体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防拆开关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788035</wp:posOffset>
                </wp:positionV>
                <wp:extent cx="1763395" cy="8890"/>
                <wp:effectExtent l="0" t="0" r="0" b="0"/>
                <wp:wrapNone/>
                <wp:docPr id="24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3395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o:spt="20" style="position:absolute;left:0pt;flip:y;margin-left:65.85pt;margin-top:62.05pt;height:0.7pt;width:138.85pt;z-index:251662336;mso-width-relative:page;mso-height-relative:page;" filled="f" stroked="t" coordsize="21600,21600" o:gfxdata="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RZv37cAAAACwEAAA8AAAAAAAAAAQAgAAAAIgAA&#10;AGRycy9kb3ducmV2LnhtbFBLAQIUABQAAAAIAIdO4kALRBqjBAIAAOIDAAAOAAAAAAAAAAEAIAAA&#10;ACsBAABkcnMvZTJvRG9jLnhtbFBLBQYAAAAABgAGAFkBAAChBQAAAAA=&#10;">
                <v:fill on="f" focussize="0,0"/>
                <v:stroke color="#BE4B48 [3205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974215" cy="1462405"/>
            <wp:effectExtent l="0" t="0" r="698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jc w:val="center"/>
        <w:rPr>
          <w:rFonts w:ascii="Times New Roman" w:hAnsi="Times New Roman" w:cs="Times New Roman"/>
        </w:rPr>
      </w:pPr>
    </w:p>
    <w:p>
      <w:pPr>
        <w:numPr>
          <w:ilvl w:val="0"/>
          <w:numId w:val="5"/>
        </w:numPr>
        <w:spacing w:line="312" w:lineRule="auto"/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防拆开关: 即机械防拆按键。ETC电子标签安装在前挡风玻璃上，防拆按键被按下，在ETC被激活后，防拆功能生效。当防拆按键再次弹起（如ETC电子标签从玻璃上脱落或被拆掉），则ETC电子标签失效，需要重新激活。</w:t>
      </w:r>
    </w:p>
    <w:p>
      <w:pPr>
        <w:spacing w:line="312" w:lineRule="auto"/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 蓝牙及自检开关: 用于控制蓝牙开启和关闭，及ETC自检。</w:t>
      </w:r>
    </w:p>
    <w:p>
      <w:pPr>
        <w:spacing w:line="312" w:lineRule="auto"/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3. 指示灯: 用于ETC自检、交易、蓝牙连接的提示。</w:t>
      </w:r>
    </w:p>
    <w:p>
      <w:pPr>
        <w:spacing w:line="312" w:lineRule="auto"/>
        <w:rPr>
          <w:rFonts w:ascii="Times New Roman" w:hAnsi="Times New Roman" w:cs="Times New Roman"/>
        </w:rPr>
      </w:pPr>
    </w:p>
    <w:p>
      <w:pPr>
        <w:spacing w:line="312" w:lineRule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UI提示</w:t>
      </w:r>
    </w:p>
    <w:tbl>
      <w:tblPr>
        <w:tblStyle w:val="12"/>
        <w:tblpPr w:leftFromText="180" w:rightFromText="180" w:vertAnchor="text" w:horzAnchor="page" w:tblpX="1987" w:tblpY="270"/>
        <w:tblOverlap w:val="never"/>
        <w:tblW w:w="874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927"/>
        <w:gridCol w:w="36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8748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FF0000"/>
              </w:rPr>
            </w:pPr>
            <w:bookmarkStart w:id="5" w:name="OLE_LINK2" w:colFirst="0" w:colLast="2"/>
            <w:r>
              <w:rPr>
                <w:rFonts w:hint="eastAsia" w:ascii="宋体" w:hAnsi="宋体"/>
              </w:rPr>
              <w:t>自检（KL30未连接，不执行自检）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2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　</w:t>
            </w:r>
          </w:p>
        </w:tc>
        <w:tc>
          <w:tcPr>
            <w:tcW w:w="29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指示灯</w:t>
            </w:r>
          </w:p>
        </w:tc>
        <w:tc>
          <w:tcPr>
            <w:tcW w:w="3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蜂鸣器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1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功能正常</w:t>
            </w:r>
          </w:p>
        </w:tc>
        <w:tc>
          <w:tcPr>
            <w:tcW w:w="2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 xml:space="preserve">绿灯常亮5秒 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</w:trPr>
        <w:tc>
          <w:tcPr>
            <w:tcW w:w="21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硬件故障</w:t>
            </w:r>
          </w:p>
        </w:tc>
        <w:tc>
          <w:tcPr>
            <w:tcW w:w="2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红灯亮5秒后熄灭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长鸣一声（≥500ms)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防拆失效，需激活</w:t>
            </w:r>
          </w:p>
        </w:tc>
        <w:tc>
          <w:tcPr>
            <w:tcW w:w="2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FF0000"/>
              </w:rPr>
            </w:pPr>
            <w:r>
              <w:rPr>
                <w:rFonts w:hint="eastAsia" w:ascii="宋体" w:hAnsi="宋体"/>
              </w:rPr>
              <w:t>绿灯闪烁5秒后熄灭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21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防拆按键未按下</w:t>
            </w:r>
          </w:p>
        </w:tc>
        <w:tc>
          <w:tcPr>
            <w:tcW w:w="2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红灯闪烁5秒后熄灭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</w:rPr>
              <w:t>长鸣一声（≥500ms)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8748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1605BB"/>
              </w:rPr>
            </w:pPr>
            <w:bookmarkStart w:id="6" w:name="OLE_LINK1" w:colFirst="0" w:colLast="2"/>
            <w:r>
              <w:rPr>
                <w:rFonts w:hint="eastAsia" w:ascii="宋体" w:hAnsi="宋体"/>
              </w:rPr>
              <w:t>蓝牙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2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　</w:t>
            </w:r>
          </w:p>
        </w:tc>
        <w:tc>
          <w:tcPr>
            <w:tcW w:w="29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指示灯</w:t>
            </w:r>
          </w:p>
        </w:tc>
        <w:tc>
          <w:tcPr>
            <w:tcW w:w="3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蜂鸣器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21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蓝牙关闭</w:t>
            </w:r>
          </w:p>
        </w:tc>
        <w:tc>
          <w:tcPr>
            <w:tcW w:w="2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蓝灯熄灭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蓝牙广播</w:t>
            </w:r>
          </w:p>
        </w:tc>
        <w:tc>
          <w:tcPr>
            <w:tcW w:w="2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蓝灯闪烁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1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蓝牙连接</w:t>
            </w:r>
          </w:p>
        </w:tc>
        <w:tc>
          <w:tcPr>
            <w:tcW w:w="2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蓝灯常亮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/</w:t>
            </w:r>
          </w:p>
        </w:tc>
      </w:tr>
      <w:bookmarkEnd w:id="6"/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</w:trPr>
        <w:tc>
          <w:tcPr>
            <w:tcW w:w="8748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1605BB"/>
              </w:rPr>
            </w:pPr>
            <w:r>
              <w:rPr>
                <w:rFonts w:hint="eastAsia" w:ascii="宋体" w:hAnsi="宋体"/>
              </w:rPr>
              <w:t>交易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2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　</w:t>
            </w:r>
          </w:p>
        </w:tc>
        <w:tc>
          <w:tcPr>
            <w:tcW w:w="29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指示灯</w:t>
            </w:r>
          </w:p>
        </w:tc>
        <w:tc>
          <w:tcPr>
            <w:tcW w:w="3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蜂鸣器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交易成功</w:t>
            </w:r>
          </w:p>
        </w:tc>
        <w:tc>
          <w:tcPr>
            <w:tcW w:w="2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绿灯闪烁一次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短鸣一声（100ms）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21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交易失败</w:t>
            </w:r>
          </w:p>
        </w:tc>
        <w:tc>
          <w:tcPr>
            <w:tcW w:w="2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红灯闪烁一次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7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短鸣三声（蜂鸣100ms，间隔50ms）</w:t>
            </w:r>
          </w:p>
        </w:tc>
      </w:tr>
      <w:bookmarkEnd w:id="5"/>
    </w:tbl>
    <w:p>
      <w:pPr>
        <w:spacing w:line="312" w:lineRule="auto"/>
        <w:rPr>
          <w:rFonts w:ascii="Times New Roman" w:hAnsi="Times New Roman" w:cs="Times New Roman"/>
        </w:rPr>
      </w:pPr>
    </w:p>
    <w:p>
      <w:pPr>
        <w:pStyle w:val="3"/>
        <w:spacing w:line="312" w:lineRule="auto"/>
        <w:rPr>
          <w:rFonts w:ascii="宋体" w:hAnsi="宋体" w:eastAsia="宋体" w:cs="宋体"/>
          <w:sz w:val="30"/>
          <w:szCs w:val="30"/>
        </w:rPr>
      </w:pPr>
      <w:bookmarkStart w:id="7" w:name="_Toc19127"/>
      <w:r>
        <w:rPr>
          <w:rFonts w:hint="eastAsia" w:ascii="宋体" w:hAnsi="宋体" w:eastAsia="宋体" w:cs="宋体"/>
          <w:sz w:val="30"/>
          <w:szCs w:val="30"/>
        </w:rPr>
        <w:t>四．ETC激活</w:t>
      </w:r>
      <w:bookmarkEnd w:id="7"/>
    </w:p>
    <w:p>
      <w:pPr>
        <w:pStyle w:val="20"/>
        <w:numPr>
          <w:ilvl w:val="0"/>
          <w:numId w:val="6"/>
        </w:numPr>
        <w:spacing w:line="312" w:lineRule="auto"/>
        <w:ind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</w:t>
      </w:r>
      <w:r>
        <w:rPr>
          <w:rFonts w:ascii="宋体" w:hAnsi="宋体" w:eastAsia="宋体" w:cs="宋体"/>
          <w:szCs w:val="21"/>
        </w:rPr>
        <w:t>TC</w:t>
      </w:r>
      <w:r>
        <w:rPr>
          <w:rFonts w:hint="eastAsia" w:ascii="宋体" w:hAnsi="宋体" w:eastAsia="宋体" w:cs="宋体"/>
          <w:szCs w:val="21"/>
        </w:rPr>
        <w:t>激活请联系4</w:t>
      </w:r>
      <w:r>
        <w:rPr>
          <w:rFonts w:ascii="宋体" w:hAnsi="宋体" w:eastAsia="宋体" w:cs="宋体"/>
          <w:szCs w:val="21"/>
        </w:rPr>
        <w:t>S</w:t>
      </w:r>
      <w:r>
        <w:rPr>
          <w:rFonts w:hint="eastAsia" w:ascii="宋体" w:hAnsi="宋体" w:eastAsia="宋体" w:cs="宋体"/>
          <w:szCs w:val="21"/>
        </w:rPr>
        <w:t>店相关人员提供专用激活二维码</w:t>
      </w:r>
    </w:p>
    <w:p>
      <w:pPr>
        <w:pStyle w:val="3"/>
        <w:numPr>
          <w:ilvl w:val="0"/>
          <w:numId w:val="7"/>
        </w:numPr>
        <w:spacing w:line="312" w:lineRule="auto"/>
        <w:rPr>
          <w:rFonts w:ascii="Times New Roman" w:hAnsi="Times New Roman" w:eastAsia="宋体" w:cs="Times New Roman"/>
          <w:sz w:val="30"/>
          <w:szCs w:val="30"/>
        </w:rPr>
      </w:pPr>
      <w:bookmarkStart w:id="8" w:name="_Toc10236"/>
      <w:r>
        <w:rPr>
          <w:rFonts w:ascii="Times New Roman" w:hAnsi="Times New Roman" w:eastAsia="宋体" w:cs="Times New Roman"/>
          <w:sz w:val="30"/>
          <w:szCs w:val="30"/>
        </w:rPr>
        <w:t>常见问题</w:t>
      </w:r>
      <w:bookmarkEnd w:id="8"/>
    </w:p>
    <w:p>
      <w:pPr>
        <w:pStyle w:val="20"/>
        <w:numPr>
          <w:ilvl w:val="0"/>
          <w:numId w:val="8"/>
        </w:numPr>
        <w:spacing w:line="312" w:lineRule="auto"/>
        <w:ind w:firstLineChars="0"/>
        <w:rPr>
          <w:rFonts w:ascii="宋体" w:hAnsi="宋体" w:eastAsia="宋体" w:cs="宋体"/>
        </w:rPr>
      </w:pPr>
      <w:bookmarkStart w:id="9" w:name="_Toc12826_WPSOffice_Level2"/>
      <w:bookmarkStart w:id="10" w:name="_Toc2352"/>
      <w:r>
        <w:rPr>
          <w:rFonts w:hint="eastAsia" w:ascii="宋体" w:hAnsi="宋体" w:eastAsia="宋体" w:cs="宋体"/>
        </w:rPr>
        <w:t>若设备长时间处于断电状态，通过收费站时不抬杆怎么办？</w:t>
      </w:r>
      <w:bookmarkEnd w:id="9"/>
    </w:p>
    <w:p>
      <w:pPr>
        <w:pStyle w:val="20"/>
        <w:spacing w:line="312" w:lineRule="auto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可通过上述ETC激活功能，进行二次激活。</w:t>
      </w:r>
    </w:p>
    <w:p>
      <w:pPr>
        <w:pStyle w:val="20"/>
        <w:numPr>
          <w:ilvl w:val="0"/>
          <w:numId w:val="8"/>
        </w:numPr>
        <w:spacing w:line="312" w:lineRule="auto"/>
        <w:ind w:firstLineChars="0"/>
        <w:rPr>
          <w:rFonts w:ascii="宋体" w:hAnsi="宋体" w:eastAsia="宋体" w:cs="宋体"/>
        </w:rPr>
      </w:pPr>
      <w:bookmarkStart w:id="11" w:name="_Toc26563_WPSOffice_Level2"/>
      <w:r>
        <w:rPr>
          <w:rFonts w:hint="eastAsia" w:ascii="宋体" w:hAnsi="宋体" w:eastAsia="宋体" w:cs="宋体"/>
        </w:rPr>
        <w:t>激活成功后设备拆卸，是否能够继续使用？</w:t>
      </w:r>
      <w:bookmarkEnd w:id="11"/>
    </w:p>
    <w:p>
      <w:pPr>
        <w:pStyle w:val="20"/>
        <w:spacing w:line="312" w:lineRule="auto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ETC激活成功后，发生脱落与拆卸的情况，设备将无法正常使用，可通过ETC激活功能，进行二次激活。</w:t>
      </w:r>
    </w:p>
    <w:p>
      <w:pPr>
        <w:pStyle w:val="3"/>
        <w:spacing w:line="312" w:lineRule="auto"/>
        <w:rPr>
          <w:rFonts w:ascii="BMWTypeNext Thin" w:hAnsi="BMWTypeNext Thin" w:eastAsia="宋体" w:cs="宋体"/>
          <w:sz w:val="30"/>
          <w:szCs w:val="30"/>
        </w:rPr>
      </w:pPr>
      <w:r>
        <w:rPr>
          <w:rFonts w:hint="eastAsia" w:ascii="BMWTypeNext Thin" w:hAnsi="BMWTypeNext Thin" w:eastAsia="宋体" w:cs="宋体"/>
          <w:sz w:val="30"/>
          <w:szCs w:val="30"/>
        </w:rPr>
        <w:t>六．</w:t>
      </w:r>
      <w:r>
        <w:rPr>
          <w:rFonts w:ascii="BMWTypeNext Thin" w:hAnsi="BMWTypeNext Thin" w:eastAsia="宋体" w:cs="宋体"/>
          <w:sz w:val="30"/>
          <w:szCs w:val="30"/>
        </w:rPr>
        <w:t>设备保养</w:t>
      </w:r>
      <w:r>
        <w:rPr>
          <w:rFonts w:hint="eastAsia" w:ascii="BMWTypeNext Thin" w:hAnsi="BMWTypeNext Thin" w:eastAsia="宋体" w:cs="宋体"/>
          <w:sz w:val="30"/>
          <w:szCs w:val="30"/>
        </w:rPr>
        <w:t>注意事项</w:t>
      </w:r>
      <w:bookmarkEnd w:id="10"/>
    </w:p>
    <w:p>
      <w:pPr>
        <w:spacing w:line="312" w:lineRule="auto"/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本产品壳体为PC-ABS 材料，建议使用</w:t>
      </w:r>
      <w:r>
        <w:rPr>
          <w:rFonts w:hint="eastAsia" w:ascii="宋体" w:hAnsi="宋体" w:eastAsia="宋体" w:cs="宋体"/>
          <w:lang w:eastAsia="ko-KR"/>
        </w:rPr>
        <w:t>干软布</w:t>
      </w:r>
      <w:r>
        <w:rPr>
          <w:rFonts w:hint="eastAsia" w:ascii="宋体" w:hAnsi="宋体" w:eastAsia="宋体" w:cs="宋体"/>
        </w:rPr>
        <w:t>进行表面清洁处理。请勿</w:t>
      </w:r>
      <w:r>
        <w:rPr>
          <w:rFonts w:hint="eastAsia" w:ascii="宋体" w:hAnsi="宋体" w:eastAsia="宋体" w:cs="宋体"/>
          <w:lang w:eastAsia="ko-KR"/>
        </w:rPr>
        <w:t>使用苯胺类</w:t>
      </w:r>
      <w:r>
        <w:rPr>
          <w:rFonts w:hint="eastAsia" w:ascii="宋体" w:hAnsi="宋体" w:eastAsia="宋体" w:cs="宋体"/>
        </w:rPr>
        <w:t>化学品进行表面清洁。如果</w:t>
      </w:r>
      <w:r>
        <w:rPr>
          <w:rFonts w:hint="eastAsia" w:ascii="宋体" w:hAnsi="宋体" w:eastAsia="宋体" w:cs="宋体"/>
          <w:lang w:eastAsia="ko-KR"/>
        </w:rPr>
        <w:t>使用</w:t>
      </w:r>
      <w:r>
        <w:rPr>
          <w:rFonts w:hint="eastAsia" w:ascii="宋体" w:hAnsi="宋体" w:eastAsia="宋体" w:cs="宋体"/>
        </w:rPr>
        <w:t>其他</w:t>
      </w:r>
      <w:r>
        <w:rPr>
          <w:rFonts w:hint="eastAsia" w:ascii="宋体" w:hAnsi="宋体" w:eastAsia="宋体" w:cs="宋体"/>
          <w:lang w:eastAsia="ko-KR"/>
        </w:rPr>
        <w:t>化学品</w:t>
      </w:r>
      <w:r>
        <w:rPr>
          <w:rFonts w:hint="eastAsia" w:ascii="宋体" w:hAnsi="宋体" w:eastAsia="宋体" w:cs="宋体"/>
        </w:rPr>
        <w:t>进行表面清洁，请注意参阅其</w:t>
      </w:r>
      <w:r>
        <w:rPr>
          <w:rFonts w:hint="eastAsia" w:ascii="宋体" w:hAnsi="宋体" w:eastAsia="宋体" w:cs="宋体"/>
          <w:lang w:eastAsia="ko-KR"/>
        </w:rPr>
        <w:t>说明书</w:t>
      </w:r>
      <w:r>
        <w:rPr>
          <w:rFonts w:hint="eastAsia" w:ascii="宋体" w:hAnsi="宋体" w:eastAsia="宋体" w:cs="宋体"/>
        </w:rPr>
        <w:t>，以免造成表面划伤，损坏。</w:t>
      </w:r>
    </w:p>
    <w:p>
      <w:pPr>
        <w:pStyle w:val="3"/>
        <w:spacing w:line="312" w:lineRule="auto"/>
        <w:rPr>
          <w:rFonts w:ascii="BMWTypeNext Thin" w:hAnsi="BMWTypeNext Thin" w:eastAsia="宋体" w:cs="宋体"/>
          <w:sz w:val="30"/>
          <w:szCs w:val="30"/>
        </w:rPr>
      </w:pPr>
      <w:bookmarkStart w:id="12" w:name="_Toc31422"/>
      <w:bookmarkStart w:id="13" w:name="_Toc4928"/>
      <w:r>
        <w:rPr>
          <w:rFonts w:hint="eastAsia" w:ascii="BMWTypeNext Thin" w:hAnsi="BMWTypeNext Thin" w:eastAsia="宋体" w:cs="宋体"/>
          <w:sz w:val="30"/>
          <w:szCs w:val="30"/>
        </w:rPr>
        <w:t>七．</w:t>
      </w:r>
      <w:r>
        <w:rPr>
          <w:rFonts w:ascii="BMWTypeNext Thin" w:hAnsi="BMWTypeNext Thin" w:eastAsia="宋体" w:cs="宋体"/>
          <w:sz w:val="30"/>
          <w:szCs w:val="30"/>
        </w:rPr>
        <w:t>售后服务热线</w:t>
      </w:r>
      <w:bookmarkEnd w:id="12"/>
      <w:bookmarkEnd w:id="13"/>
    </w:p>
    <w:p>
      <w:pPr>
        <w:spacing w:line="312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如在ETC激活及使用过程中有疑问，请通过以下方式联系我们。</w:t>
      </w:r>
    </w:p>
    <w:p>
      <w:pPr>
        <w:spacing w:line="312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ETC运营商客服电话：96533，广东省以外地区联系：4001196533</w:t>
      </w:r>
    </w:p>
    <w:p>
      <w:pPr>
        <w:spacing w:line="312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  <w:r>
        <w:rPr>
          <w:rFonts w:hint="eastAsia" w:ascii="Times New Roman" w:hAnsi="Times New Roman" w:eastAsia="黑体" w:cs="Times New Roman"/>
          <w:b/>
          <w:bCs/>
          <w:sz w:val="52"/>
          <w:szCs w:val="52"/>
        </w:rPr>
        <w:t>比亚迪 ETC</w:t>
      </w:r>
      <w:r>
        <w:rPr>
          <w:rFonts w:ascii="Times New Roman" w:hAnsi="Times New Roman" w:eastAsia="黑体" w:cs="Times New Roman"/>
          <w:b/>
          <w:bCs/>
          <w:sz w:val="52"/>
          <w:szCs w:val="52"/>
        </w:rPr>
        <w:t xml:space="preserve"> OBU</w:t>
      </w:r>
      <w:r>
        <w:rPr>
          <w:rFonts w:hint="eastAsia" w:ascii="Times New Roman" w:hAnsi="Times New Roman" w:eastAsia="黑体" w:cs="Times New Roman"/>
          <w:b/>
          <w:bCs/>
          <w:sz w:val="52"/>
          <w:szCs w:val="52"/>
        </w:rPr>
        <w:t>安装说明书</w:t>
      </w: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jc w:val="center"/>
        <w:rPr>
          <w:rFonts w:ascii="Times New Roman" w:hAnsi="Times New Roman" w:eastAsia="黑体" w:cs="Times New Roman"/>
          <w:b/>
          <w:bCs/>
          <w:sz w:val="52"/>
          <w:szCs w:val="52"/>
        </w:rPr>
      </w:pPr>
    </w:p>
    <w:p>
      <w:pPr>
        <w:spacing w:line="312" w:lineRule="auto"/>
        <w:rPr>
          <w:rFonts w:hint="eastAsia" w:ascii="Times New Roman" w:hAnsi="Times New Roman" w:eastAsia="黑体" w:cs="Times New Roman"/>
          <w:b/>
          <w:bCs/>
          <w:sz w:val="52"/>
          <w:szCs w:val="52"/>
        </w:rPr>
      </w:pPr>
    </w:p>
    <w:p>
      <w:pPr>
        <w:pStyle w:val="3"/>
        <w:spacing w:line="360" w:lineRule="auto"/>
        <w:rPr>
          <w:rFonts w:ascii="BMWTypeNext Thin" w:hAnsi="BMWTypeNext Thin" w:eastAsia="宋体" w:cs="宋体"/>
          <w:sz w:val="30"/>
          <w:szCs w:val="30"/>
        </w:rPr>
      </w:pPr>
      <w:r>
        <w:rPr>
          <w:rFonts w:hint="eastAsia" w:ascii="BMWTypeNext Thin" w:hAnsi="BMWTypeNext Thin" w:eastAsia="宋体" w:cs="宋体"/>
          <w:sz w:val="30"/>
          <w:szCs w:val="30"/>
        </w:rPr>
        <w:t>一.</w:t>
      </w:r>
      <w:r>
        <w:rPr>
          <w:rFonts w:ascii="BMWTypeNext Thin" w:hAnsi="BMWTypeNext Thin" w:eastAsia="宋体" w:cs="宋体"/>
          <w:sz w:val="30"/>
          <w:szCs w:val="30"/>
        </w:rPr>
        <w:t xml:space="preserve"> </w:t>
      </w:r>
      <w:r>
        <w:rPr>
          <w:rFonts w:hint="eastAsia" w:ascii="BMWTypeNext Thin" w:hAnsi="BMWTypeNext Thin" w:eastAsia="宋体" w:cs="宋体"/>
          <w:sz w:val="30"/>
          <w:szCs w:val="30"/>
        </w:rPr>
        <w:t>产品外观</w:t>
      </w:r>
    </w:p>
    <w:p>
      <w:pPr>
        <w:spacing w:line="360" w:lineRule="auto"/>
        <w:jc w:val="center"/>
      </w:pPr>
      <w:r>
        <w:drawing>
          <wp:inline distT="0" distB="0" distL="0" distR="0">
            <wp:extent cx="2383790" cy="2066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BMWTypeNext Thin" w:hAnsi="BMWTypeNext Thin" w:eastAsia="宋体" w:cs="宋体"/>
          <w:sz w:val="30"/>
          <w:szCs w:val="30"/>
        </w:rPr>
      </w:pPr>
      <w:r>
        <w:rPr>
          <w:rFonts w:hint="eastAsia" w:ascii="BMWTypeNext Thin" w:hAnsi="BMWTypeNext Thin" w:eastAsia="宋体" w:cs="宋体"/>
          <w:sz w:val="30"/>
          <w:szCs w:val="30"/>
        </w:rPr>
        <w:t>二.</w:t>
      </w:r>
      <w:r>
        <w:rPr>
          <w:rFonts w:ascii="BMWTypeNext Thin" w:hAnsi="BMWTypeNext Thin" w:eastAsia="宋体" w:cs="宋体"/>
          <w:sz w:val="30"/>
          <w:szCs w:val="30"/>
        </w:rPr>
        <w:t xml:space="preserve"> </w:t>
      </w:r>
      <w:r>
        <w:rPr>
          <w:rFonts w:hint="eastAsia" w:ascii="BMWTypeNext Thin" w:hAnsi="BMWTypeNext Thin" w:eastAsia="宋体" w:cs="宋体"/>
          <w:sz w:val="30"/>
          <w:szCs w:val="30"/>
        </w:rPr>
        <w:t>安装步骤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1.</w:t>
      </w:r>
      <w:r>
        <w:rPr>
          <w:rFonts w:hint="eastAsia" w:ascii="宋体" w:hAnsi="宋体" w:eastAsia="宋体" w:cs="宋体"/>
          <w:szCs w:val="21"/>
        </w:rPr>
        <w:t>拆开原车前室内灯，找到原车预留的ETC线束及护套；</w:t>
      </w:r>
    </w:p>
    <w:p>
      <w:pPr>
        <w:spacing w:line="312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4974590" cy="47612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szCs w:val="21"/>
        </w:rPr>
        <w:t>2</w:t>
      </w:r>
      <w:r>
        <w:rPr>
          <w:rFonts w:ascii="宋体" w:hAnsi="宋体" w:eastAsia="宋体" w:cs="宋体"/>
          <w:szCs w:val="21"/>
        </w:rPr>
        <w:t>.</w:t>
      </w:r>
      <w:r>
        <w:rPr>
          <w:rFonts w:hint="eastAsia"/>
        </w:rPr>
        <w:t xml:space="preserve"> E</w:t>
      </w:r>
      <w:r>
        <w:t>TC</w:t>
      </w:r>
      <w:r>
        <w:rPr>
          <w:rFonts w:hint="eastAsia"/>
        </w:rPr>
        <w:t>上线束和原车预留线束接插，粘贴E</w:t>
      </w:r>
      <w:r>
        <w:t>TC</w:t>
      </w:r>
      <w:r>
        <w:rPr>
          <w:rFonts w:hint="eastAsia"/>
        </w:rPr>
        <w:t>设备；</w:t>
      </w:r>
    </w:p>
    <w:p/>
    <w:p>
      <w:r>
        <w:drawing>
          <wp:inline distT="0" distB="0" distL="0" distR="0">
            <wp:extent cx="4998085" cy="2114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7324" cy="21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3、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复原原车前室内灯，安装工作完成。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三、注意事项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1、产品粘贴在前挡风玻璃中上部，周边与车顶或其他金属部件距离尽量大于25mm；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2、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产品可以粘贴在前挡风玻璃上车道保护盖里面；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3、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汉车型前挡为镀膜玻璃，需要安装在玻璃上预留位置或车道保护盖里面；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4、拆卸产品会触发防拆开关，会导致功能失效，需要重新标签恢复；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5、E</w:t>
      </w:r>
      <w:r>
        <w:rPr>
          <w:rFonts w:ascii="宋体" w:hAnsi="宋体" w:eastAsia="宋体" w:cs="宋体"/>
          <w:szCs w:val="21"/>
        </w:rPr>
        <w:t>TC</w:t>
      </w:r>
      <w:r>
        <w:rPr>
          <w:rFonts w:hint="eastAsia" w:ascii="宋体" w:hAnsi="宋体" w:eastAsia="宋体" w:cs="宋体"/>
          <w:szCs w:val="21"/>
        </w:rPr>
        <w:t>激活请联系4</w:t>
      </w:r>
      <w:r>
        <w:rPr>
          <w:rFonts w:ascii="宋体" w:hAnsi="宋体" w:eastAsia="宋体" w:cs="宋体"/>
          <w:szCs w:val="21"/>
        </w:rPr>
        <w:t>S</w:t>
      </w:r>
      <w:r>
        <w:rPr>
          <w:rFonts w:hint="eastAsia" w:ascii="宋体" w:hAnsi="宋体" w:eastAsia="宋体" w:cs="宋体"/>
          <w:szCs w:val="21"/>
        </w:rPr>
        <w:t>店相关人员提供专用激活二维码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  <w:bookmarkStart w:id="14" w:name="_GoBack"/>
      <w:bookmarkEnd w:id="14"/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12" w:lineRule="auto"/>
        <w:ind w:firstLine="420" w:firstLineChars="200"/>
        <w:rPr>
          <w:rFonts w:ascii="宋体" w:hAnsi="宋体" w:eastAsia="宋体" w:cs="宋体"/>
          <w:szCs w:val="21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BMWTypeNext Thin">
    <w:altName w:val="Arial"/>
    <w:panose1 w:val="00000000000000000000"/>
    <w:charset w:val="00"/>
    <w:family w:val="modern"/>
    <w:pitch w:val="default"/>
    <w:sig w:usb0="00000000" w:usb1="00000000" w:usb2="00000000" w:usb3="00000000" w:csb0="0000009F" w:csb1="00000000"/>
  </w:font>
  <w:font w:name="简宋">
    <w:altName w:val="宋体"/>
    <w:panose1 w:val="00000000000000000000"/>
    <w:charset w:val="86"/>
    <w:family w:val="roman"/>
    <w:pitch w:val="default"/>
    <w:sig w:usb0="00000000" w:usb1="00000000" w:usb2="00000016" w:usb3="00000000" w:csb0="0004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02765714"/>
    </w:sdtPr>
    <w:sdtContent>
      <w:p>
        <w:pPr>
          <w:pStyle w:val="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BDDAB5"/>
    <w:multiLevelType w:val="singleLevel"/>
    <w:tmpl w:val="D7BDDAB5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70F69DF"/>
    <w:multiLevelType w:val="multilevel"/>
    <w:tmpl w:val="070F69D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631C025"/>
    <w:multiLevelType w:val="singleLevel"/>
    <w:tmpl w:val="1631C025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2C847FEE"/>
    <w:multiLevelType w:val="multilevel"/>
    <w:tmpl w:val="2C847FEE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9C03D7"/>
    <w:multiLevelType w:val="singleLevel"/>
    <w:tmpl w:val="559C03D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1C50647"/>
    <w:multiLevelType w:val="multilevel"/>
    <w:tmpl w:val="61C50647"/>
    <w:lvl w:ilvl="0" w:tentative="0">
      <w:start w:val="1"/>
      <w:numFmt w:val="decimal"/>
      <w:lvlText w:val="%1)"/>
      <w:lvlJc w:val="left"/>
      <w:pPr>
        <w:ind w:left="1003" w:hanging="360"/>
      </w:pPr>
    </w:lvl>
    <w:lvl w:ilvl="1" w:tentative="0">
      <w:start w:val="4"/>
      <w:numFmt w:val="japaneseCounting"/>
      <w:lvlText w:val="%2．"/>
      <w:lvlJc w:val="left"/>
      <w:pPr>
        <w:ind w:left="2083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443" w:hanging="180"/>
      </w:pPr>
    </w:lvl>
    <w:lvl w:ilvl="3" w:tentative="0">
      <w:start w:val="1"/>
      <w:numFmt w:val="decimal"/>
      <w:lvlText w:val="%4."/>
      <w:lvlJc w:val="left"/>
      <w:pPr>
        <w:ind w:left="3163" w:hanging="360"/>
      </w:pPr>
    </w:lvl>
    <w:lvl w:ilvl="4" w:tentative="0">
      <w:start w:val="1"/>
      <w:numFmt w:val="lowerLetter"/>
      <w:lvlText w:val="%5."/>
      <w:lvlJc w:val="left"/>
      <w:pPr>
        <w:ind w:left="3883" w:hanging="360"/>
      </w:pPr>
    </w:lvl>
    <w:lvl w:ilvl="5" w:tentative="0">
      <w:start w:val="1"/>
      <w:numFmt w:val="lowerRoman"/>
      <w:lvlText w:val="%6."/>
      <w:lvlJc w:val="right"/>
      <w:pPr>
        <w:ind w:left="4603" w:hanging="180"/>
      </w:pPr>
    </w:lvl>
    <w:lvl w:ilvl="6" w:tentative="0">
      <w:start w:val="1"/>
      <w:numFmt w:val="decimal"/>
      <w:lvlText w:val="%7."/>
      <w:lvlJc w:val="left"/>
      <w:pPr>
        <w:ind w:left="5323" w:hanging="360"/>
      </w:pPr>
    </w:lvl>
    <w:lvl w:ilvl="7" w:tentative="0">
      <w:start w:val="1"/>
      <w:numFmt w:val="lowerLetter"/>
      <w:lvlText w:val="%8."/>
      <w:lvlJc w:val="left"/>
      <w:pPr>
        <w:ind w:left="6043" w:hanging="360"/>
      </w:pPr>
    </w:lvl>
    <w:lvl w:ilvl="8" w:tentative="0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68597D41"/>
    <w:multiLevelType w:val="multilevel"/>
    <w:tmpl w:val="68597D41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6ED2551"/>
    <w:multiLevelType w:val="singleLevel"/>
    <w:tmpl w:val="76ED2551"/>
    <w:lvl w:ilvl="0" w:tentative="0">
      <w:start w:val="5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E1"/>
    <w:rsid w:val="0000283A"/>
    <w:rsid w:val="00012BC6"/>
    <w:rsid w:val="000618B1"/>
    <w:rsid w:val="00063409"/>
    <w:rsid w:val="000906F1"/>
    <w:rsid w:val="000E40C0"/>
    <w:rsid w:val="00141DBA"/>
    <w:rsid w:val="00142619"/>
    <w:rsid w:val="00162802"/>
    <w:rsid w:val="00170D8E"/>
    <w:rsid w:val="00180816"/>
    <w:rsid w:val="00181E0C"/>
    <w:rsid w:val="001933D7"/>
    <w:rsid w:val="001B53B7"/>
    <w:rsid w:val="001D5A31"/>
    <w:rsid w:val="001E5607"/>
    <w:rsid w:val="00207373"/>
    <w:rsid w:val="00256DB8"/>
    <w:rsid w:val="002772A3"/>
    <w:rsid w:val="00295FB3"/>
    <w:rsid w:val="002C1932"/>
    <w:rsid w:val="00321033"/>
    <w:rsid w:val="00330B29"/>
    <w:rsid w:val="0033543A"/>
    <w:rsid w:val="00344354"/>
    <w:rsid w:val="003477E1"/>
    <w:rsid w:val="00360906"/>
    <w:rsid w:val="0039073B"/>
    <w:rsid w:val="003946DF"/>
    <w:rsid w:val="003D59A6"/>
    <w:rsid w:val="003F6517"/>
    <w:rsid w:val="00412BDD"/>
    <w:rsid w:val="004139A1"/>
    <w:rsid w:val="004D2A8F"/>
    <w:rsid w:val="004F0888"/>
    <w:rsid w:val="00541A00"/>
    <w:rsid w:val="00547B10"/>
    <w:rsid w:val="00551699"/>
    <w:rsid w:val="00615FF5"/>
    <w:rsid w:val="0064325C"/>
    <w:rsid w:val="006E55DE"/>
    <w:rsid w:val="00715B9F"/>
    <w:rsid w:val="00723CDF"/>
    <w:rsid w:val="00735C15"/>
    <w:rsid w:val="00760D54"/>
    <w:rsid w:val="00776602"/>
    <w:rsid w:val="007B0097"/>
    <w:rsid w:val="007C211C"/>
    <w:rsid w:val="00835018"/>
    <w:rsid w:val="008628A0"/>
    <w:rsid w:val="008A4098"/>
    <w:rsid w:val="008A7ACF"/>
    <w:rsid w:val="008C3AB5"/>
    <w:rsid w:val="008E1B08"/>
    <w:rsid w:val="008F04FA"/>
    <w:rsid w:val="00900A4C"/>
    <w:rsid w:val="0090349D"/>
    <w:rsid w:val="00943D61"/>
    <w:rsid w:val="0098059D"/>
    <w:rsid w:val="00982CDB"/>
    <w:rsid w:val="009A3D3E"/>
    <w:rsid w:val="009F239D"/>
    <w:rsid w:val="00A2376B"/>
    <w:rsid w:val="00A25353"/>
    <w:rsid w:val="00A345F7"/>
    <w:rsid w:val="00A56181"/>
    <w:rsid w:val="00A80970"/>
    <w:rsid w:val="00AA5CE3"/>
    <w:rsid w:val="00AB6046"/>
    <w:rsid w:val="00AD5D61"/>
    <w:rsid w:val="00B37EF9"/>
    <w:rsid w:val="00B62EF2"/>
    <w:rsid w:val="00B84924"/>
    <w:rsid w:val="00BB20E7"/>
    <w:rsid w:val="00BB6D24"/>
    <w:rsid w:val="00C14441"/>
    <w:rsid w:val="00C20205"/>
    <w:rsid w:val="00C53A20"/>
    <w:rsid w:val="00CA7186"/>
    <w:rsid w:val="00CB050B"/>
    <w:rsid w:val="00CF3FE6"/>
    <w:rsid w:val="00D23C82"/>
    <w:rsid w:val="00D446DC"/>
    <w:rsid w:val="00DC186B"/>
    <w:rsid w:val="00DC3A25"/>
    <w:rsid w:val="00DF35CE"/>
    <w:rsid w:val="00DF570F"/>
    <w:rsid w:val="00E0344B"/>
    <w:rsid w:val="00E13FD4"/>
    <w:rsid w:val="00E24C7B"/>
    <w:rsid w:val="00EA53C6"/>
    <w:rsid w:val="00EC6CA9"/>
    <w:rsid w:val="00F0298B"/>
    <w:rsid w:val="00F523F7"/>
    <w:rsid w:val="00F93A7E"/>
    <w:rsid w:val="00F97E3F"/>
    <w:rsid w:val="00FA08D9"/>
    <w:rsid w:val="00FA26AA"/>
    <w:rsid w:val="00FD1505"/>
    <w:rsid w:val="00FD6980"/>
    <w:rsid w:val="068B0800"/>
    <w:rsid w:val="08A61993"/>
    <w:rsid w:val="090E0849"/>
    <w:rsid w:val="0D480AC3"/>
    <w:rsid w:val="0DEA5257"/>
    <w:rsid w:val="0E874BA4"/>
    <w:rsid w:val="0F733A31"/>
    <w:rsid w:val="12567EA1"/>
    <w:rsid w:val="143A3EEA"/>
    <w:rsid w:val="169B6819"/>
    <w:rsid w:val="16B34C6B"/>
    <w:rsid w:val="16FD1DD1"/>
    <w:rsid w:val="19BE45BE"/>
    <w:rsid w:val="1BEF3BCA"/>
    <w:rsid w:val="1C96155A"/>
    <w:rsid w:val="1EF92040"/>
    <w:rsid w:val="222B23DB"/>
    <w:rsid w:val="23EB59D8"/>
    <w:rsid w:val="24512D01"/>
    <w:rsid w:val="24962198"/>
    <w:rsid w:val="24C05C94"/>
    <w:rsid w:val="26A20923"/>
    <w:rsid w:val="272E2BDE"/>
    <w:rsid w:val="2756235F"/>
    <w:rsid w:val="29585B51"/>
    <w:rsid w:val="2959344D"/>
    <w:rsid w:val="2C6D1345"/>
    <w:rsid w:val="2D1B6465"/>
    <w:rsid w:val="2E563340"/>
    <w:rsid w:val="2F3C2F6D"/>
    <w:rsid w:val="31092B54"/>
    <w:rsid w:val="35C170AB"/>
    <w:rsid w:val="3796534D"/>
    <w:rsid w:val="382657F9"/>
    <w:rsid w:val="38F96B21"/>
    <w:rsid w:val="397A595B"/>
    <w:rsid w:val="3AED3684"/>
    <w:rsid w:val="3CE5695F"/>
    <w:rsid w:val="40A62057"/>
    <w:rsid w:val="437A36B6"/>
    <w:rsid w:val="443C5F64"/>
    <w:rsid w:val="448D2CEF"/>
    <w:rsid w:val="470F0ED6"/>
    <w:rsid w:val="4A0359B6"/>
    <w:rsid w:val="4BB701EA"/>
    <w:rsid w:val="4BF10BE5"/>
    <w:rsid w:val="4DD1420C"/>
    <w:rsid w:val="508F2CF7"/>
    <w:rsid w:val="57FB298E"/>
    <w:rsid w:val="594327F7"/>
    <w:rsid w:val="5C410A96"/>
    <w:rsid w:val="5C927BCE"/>
    <w:rsid w:val="60E055C4"/>
    <w:rsid w:val="67E61FC3"/>
    <w:rsid w:val="6BEC69F9"/>
    <w:rsid w:val="6CAA66DD"/>
    <w:rsid w:val="6D1F39B1"/>
    <w:rsid w:val="6F7458DC"/>
    <w:rsid w:val="77630001"/>
    <w:rsid w:val="78D24E0A"/>
    <w:rsid w:val="79EE1D74"/>
    <w:rsid w:val="7AEE777F"/>
    <w:rsid w:val="7CDF3AA8"/>
    <w:rsid w:val="7ED3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3"/>
    <w:unhideWhenUsed/>
    <w:qFormat/>
    <w:uiPriority w:val="99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rPr>
      <w:sz w:val="24"/>
    </w:rPr>
  </w:style>
  <w:style w:type="paragraph" w:styleId="11">
    <w:name w:val="annotation subject"/>
    <w:basedOn w:val="5"/>
    <w:next w:val="5"/>
    <w:link w:val="25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4"/>
    <w:semiHidden/>
    <w:unhideWhenUsed/>
    <w:qFormat/>
    <w:uiPriority w:val="99"/>
    <w:rPr>
      <w:sz w:val="21"/>
      <w:szCs w:val="21"/>
    </w:rPr>
  </w:style>
  <w:style w:type="paragraph" w:customStyle="1" w:styleId="1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9">
    <w:name w:val="批注框文本 字符"/>
    <w:basedOn w:val="14"/>
    <w:link w:val="6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table" w:customStyle="1" w:styleId="21">
    <w:name w:val="网格表 31"/>
    <w:basedOn w:val="12"/>
    <w:qFormat/>
    <w:uiPriority w:val="48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character" w:customStyle="1" w:styleId="22">
    <w:name w:val="页眉 字符"/>
    <w:basedOn w:val="14"/>
    <w:link w:val="8"/>
    <w:qFormat/>
    <w:uiPriority w:val="99"/>
    <w:rPr>
      <w:rFonts w:eastAsiaTheme="minorEastAsia"/>
      <w:kern w:val="2"/>
      <w:sz w:val="18"/>
      <w:szCs w:val="18"/>
    </w:rPr>
  </w:style>
  <w:style w:type="character" w:customStyle="1" w:styleId="23">
    <w:name w:val="页脚 字符"/>
    <w:basedOn w:val="14"/>
    <w:link w:val="7"/>
    <w:qFormat/>
    <w:uiPriority w:val="99"/>
    <w:rPr>
      <w:rFonts w:eastAsiaTheme="minorEastAsia"/>
      <w:kern w:val="2"/>
      <w:sz w:val="18"/>
      <w:szCs w:val="18"/>
    </w:rPr>
  </w:style>
  <w:style w:type="character" w:customStyle="1" w:styleId="24">
    <w:name w:val="批注文字 字符"/>
    <w:basedOn w:val="14"/>
    <w:link w:val="5"/>
    <w:semiHidden/>
    <w:qFormat/>
    <w:uiPriority w:val="99"/>
    <w:rPr>
      <w:rFonts w:eastAsiaTheme="minorEastAsia"/>
      <w:kern w:val="2"/>
      <w:sz w:val="21"/>
      <w:szCs w:val="22"/>
    </w:rPr>
  </w:style>
  <w:style w:type="character" w:customStyle="1" w:styleId="25">
    <w:name w:val="批注主题 字符"/>
    <w:basedOn w:val="24"/>
    <w:link w:val="11"/>
    <w:semiHidden/>
    <w:qFormat/>
    <w:uiPriority w:val="99"/>
    <w:rPr>
      <w:rFonts w:eastAsiaTheme="minorEastAsia"/>
      <w:b/>
      <w:bCs/>
      <w:kern w:val="2"/>
      <w:sz w:val="21"/>
      <w:szCs w:val="22"/>
    </w:rPr>
  </w:style>
  <w:style w:type="paragraph" w:customStyle="1" w:styleId="26">
    <w:name w:val="表格"/>
    <w:qFormat/>
    <w:uiPriority w:val="0"/>
    <w:pPr>
      <w:spacing w:before="60" w:after="60"/>
      <w:jc w:val="center"/>
    </w:pPr>
    <w:rPr>
      <w:rFonts w:ascii="Times New Roman" w:hAnsi="Times New Roman" w:eastAsia="黑体" w:cstheme="minorBidi"/>
      <w:kern w:val="2"/>
      <w:sz w:val="21"/>
      <w:szCs w:val="22"/>
      <w:lang w:val="en-US" w:eastAsia="zh-CN" w:bidi="ar-SA"/>
    </w:rPr>
  </w:style>
  <w:style w:type="paragraph" w:customStyle="1" w:styleId="27">
    <w:name w:val="表格内容"/>
    <w:qFormat/>
    <w:uiPriority w:val="0"/>
    <w:rPr>
      <w:rFonts w:ascii="Times New Roman" w:hAnsi="Times New Roman" w:eastAsia="宋体" w:cs="宋体"/>
      <w:bCs/>
      <w:sz w:val="21"/>
      <w:szCs w:val="22"/>
      <w:lang w:val="en-US" w:eastAsia="zh-CN" w:bidi="ar-SA"/>
    </w:rPr>
  </w:style>
  <w:style w:type="character" w:customStyle="1" w:styleId="28">
    <w:name w:val="tgt"/>
    <w:basedOn w:val="14"/>
    <w:qFormat/>
    <w:uiPriority w:val="0"/>
  </w:style>
  <w:style w:type="paragraph" w:customStyle="1" w:styleId="2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452F2E-DAB7-440A-86F3-40300F1060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331</Words>
  <Characters>1893</Characters>
  <Lines>15</Lines>
  <Paragraphs>4</Paragraphs>
  <TotalTime>44</TotalTime>
  <ScaleCrop>false</ScaleCrop>
  <LinksUpToDate>false</LinksUpToDate>
  <CharactersWithSpaces>2220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2020-11-17T05:38:00Z</dcterms:created>
  <dc:creator>万集科技04</dc:creator>
  <cp:lastModifiedBy>zhu.renlan</cp:lastModifiedBy>
  <dcterms:modified xsi:type="dcterms:W3CDTF">2021-05-21T09:35:37Z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